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1B3A5C"/>
          <w:sz w:val="48"/>
          <w:szCs w:val="48"/>
        </w:rPr>
        <w:t xml:space="preserve">QA Testing Playbook</w:t>
      </w:r>
    </w:p>
    <w:p>
      <w:pPr>
        <w:spacing w:after="40"/>
        <w:jc w:val="center"/>
      </w:pPr>
      <w:r>
        <w:rPr>
          <w:rFonts w:ascii="Arial" w:cs="Arial" w:eastAsia="Arial" w:hAnsi="Arial"/>
          <w:color w:val="0D7377"/>
          <w:sz w:val="28"/>
          <w:szCs w:val="28"/>
        </w:rPr>
        <w:t xml:space="preserve">Membership &amp; Dues  +  Events Modules</w:t>
      </w:r>
    </w:p>
    <w:p>
      <w:pPr>
        <w:spacing w:after="360"/>
        <w:jc w:val="center"/>
      </w:pPr>
      <w:r>
        <w:rPr>
          <w:rFonts w:ascii="Arial" w:cs="Arial" w:eastAsia="Arial" w:hAnsi="Arial"/>
          <w:color w:val="6B7280"/>
          <w:sz w:val="22"/>
          <w:szCs w:val="22"/>
        </w:rPr>
        <w:t xml:space="preserve">When to use which testing tool, and how they fit together</w:t>
      </w:r>
    </w:p>
    <w:p>
      <w:pPr>
        <w:pStyle w:val="Heading1"/>
      </w:pPr>
      <w:r>
        <w:t xml:space="preserve">Your QA Toolkit (Per Module)</w:t>
      </w:r>
    </w:p>
    <w:p>
      <w:pPr>
        <w:spacing w:after="120"/>
      </w:pPr>
      <w:r>
        <w:rPr>
          <w:rFonts w:ascii="Arial" w:cs="Arial" w:eastAsia="Arial" w:hAnsi="Arial"/>
          <w:color w:val="374151"/>
          <w:sz w:val="22"/>
          <w:szCs w:val="22"/>
        </w:rPr>
        <w:t xml:space="preserve">Each module has three testing tools. They serve different purposes. Here’s what each one does and when to reach for it.</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sz="0"/>
              <w:left w:val="none" w:sz="0"/>
              <w:bottom w:val="none" w:sz="0"/>
              <w:right w:val="none" w:sz="0"/>
            </w:tcBorders>
            <w:shd w:fill="E8F5EC" w:val="clear"/>
            <w:tcMar>
              <w:top w:type="dxa" w:w="100"/>
              <w:left w:type="dxa" w:w="80"/>
              <w:bottom w:type="dxa" w:w="100"/>
              <w:right w:type="dxa" w:w="80"/>
            </w:tcMar>
            <w:vAlign w:val="center"/>
          </w:tcPr>
          <w:p>
            <w:pPr>
              <w:jc w:val="center"/>
            </w:pPr>
            <w:r>
              <w:rPr>
                <w:rFonts w:ascii="Arial" w:cs="Arial" w:eastAsia="Arial" w:hAnsi="Arial"/>
                <w:sz w:val="28"/>
                <w:szCs w:val="28"/>
              </w:rPr>
              <w:t xml:space="preserve">🧪</w:t>
            </w:r>
          </w:p>
        </w:tc>
        <w:tc>
          <w:tcPr>
            <w:tcW w:type="dxa" w:w="8760"/>
            <w:tcBorders>
              <w:top w:val="none" w:sz="0"/>
              <w:left w:val="none" w:sz="0"/>
              <w:bottom w:val="none" w:sz="0"/>
              <w:right w:val="none" w:sz="0"/>
            </w:tcBorders>
            <w:shd w:fill="E8F5EC" w:val="clear"/>
            <w:tcMar>
              <w:top w:type="dxa" w:w="100"/>
              <w:left w:type="dxa" w:w="160"/>
              <w:bottom w:type="dxa" w:w="100"/>
              <w:right w:type="dxa" w:w="160"/>
            </w:tcMar>
          </w:tcPr>
          <w:p>
            <w:pPr>
              <w:spacing w:after="40"/>
            </w:pPr>
            <w:r>
              <w:rPr>
                <w:rFonts w:ascii="Arial" w:cs="Arial" w:eastAsia="Arial" w:hAnsi="Arial"/>
                <w:b/>
                <w:bCs/>
                <w:color w:val="1B3A5C"/>
                <w:sz w:val="24"/>
                <w:szCs w:val="24"/>
              </w:rPr>
              <w:t xml:space="preserve">E2E Test Scripts</w:t>
            </w:r>
          </w:p>
          <w:p>
            <w:pPr>
              <w:spacing w:after="40"/>
            </w:pPr>
            <w:r>
              <w:rPr>
                <w:rFonts w:ascii="Arial" w:cs="Arial" w:eastAsia="Arial" w:hAnsi="Arial"/>
                <w:b/>
                <w:bCs/>
                <w:color w:val="6B7280"/>
                <w:sz w:val="20"/>
                <w:szCs w:val="20"/>
              </w:rPr>
              <w:t xml:space="preserve">When: </w:t>
            </w:r>
            <w:r>
              <w:rPr>
                <w:rFonts w:ascii="Arial" w:cs="Arial" w:eastAsia="Arial" w:hAnsi="Arial"/>
                <w:color w:val="6B7280"/>
                <w:sz w:val="20"/>
                <w:szCs w:val="20"/>
              </w:rPr>
              <w:t xml:space="preserve">Before every demo, sprint review, or release candidate</w:t>
            </w:r>
          </w:p>
          <w:p>
            <w:r>
              <w:rPr>
                <w:rFonts w:ascii="Arial" w:cs="Arial" w:eastAsia="Arial" w:hAnsi="Arial"/>
                <w:color w:val="374151"/>
                <w:sz w:val="20"/>
                <w:szCs w:val="20"/>
              </w:rPr>
              <w:t xml:space="preserve">Interactive HTML pages with step-by-step test flows. Open in any browser, follow the steps, check the boxes. This is your regression baseline — it tells you whether the system still works as a whole.</w:t>
            </w:r>
          </w:p>
        </w:tc>
      </w:tr>
    </w:tbl>
    <w:p>
      <w:pP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sz="0"/>
              <w:left w:val="none" w:sz="0"/>
              <w:bottom w:val="none" w:sz="0"/>
              <w:right w:val="none" w:sz="0"/>
            </w:tcBorders>
            <w:shd w:fill="E6F4F4" w:val="clear"/>
            <w:tcMar>
              <w:top w:type="dxa" w:w="100"/>
              <w:left w:type="dxa" w:w="80"/>
              <w:bottom w:type="dxa" w:w="100"/>
              <w:right w:type="dxa" w:w="80"/>
            </w:tcMar>
            <w:vAlign w:val="center"/>
          </w:tcPr>
          <w:p>
            <w:pPr>
              <w:jc w:val="center"/>
            </w:pPr>
            <w:r>
              <w:rPr>
                <w:rFonts w:ascii="Arial" w:cs="Arial" w:eastAsia="Arial" w:hAnsi="Arial"/>
                <w:sz w:val="28"/>
                <w:szCs w:val="28"/>
              </w:rPr>
              <w:t xml:space="preserve">🤖</w:t>
            </w:r>
          </w:p>
        </w:tc>
        <w:tc>
          <w:tcPr>
            <w:tcW w:type="dxa" w:w="8760"/>
            <w:tcBorders>
              <w:top w:val="none" w:sz="0"/>
              <w:left w:val="none" w:sz="0"/>
              <w:bottom w:val="none" w:sz="0"/>
              <w:right w:val="none" w:sz="0"/>
            </w:tcBorders>
            <w:shd w:fill="E6F4F4" w:val="clear"/>
            <w:tcMar>
              <w:top w:type="dxa" w:w="100"/>
              <w:left w:type="dxa" w:w="160"/>
              <w:bottom w:type="dxa" w:w="100"/>
              <w:right w:type="dxa" w:w="160"/>
            </w:tcMar>
          </w:tcPr>
          <w:p>
            <w:pPr>
              <w:spacing w:after="40"/>
            </w:pPr>
            <w:r>
              <w:rPr>
                <w:rFonts w:ascii="Arial" w:cs="Arial" w:eastAsia="Arial" w:hAnsi="Arial"/>
                <w:b/>
                <w:bCs/>
                <w:color w:val="1B3A5C"/>
                <w:sz w:val="24"/>
                <w:szCs w:val="24"/>
              </w:rPr>
              <w:t xml:space="preserve">Knowledge Skills  (.skill files)</w:t>
            </w:r>
          </w:p>
          <w:p>
            <w:pPr>
              <w:spacing w:after="40"/>
            </w:pPr>
            <w:r>
              <w:rPr>
                <w:rFonts w:ascii="Arial" w:cs="Arial" w:eastAsia="Arial" w:hAnsi="Arial"/>
                <w:b/>
                <w:bCs/>
                <w:color w:val="6B7280"/>
                <w:sz w:val="20"/>
                <w:szCs w:val="20"/>
              </w:rPr>
              <w:t xml:space="preserve">When: </w:t>
            </w:r>
            <w:r>
              <w:rPr>
                <w:rFonts w:ascii="Arial" w:cs="Arial" w:eastAsia="Arial" w:hAnsi="Arial"/>
                <w:color w:val="6B7280"/>
                <w:sz w:val="20"/>
                <w:szCs w:val="20"/>
              </w:rPr>
              <w:t xml:space="preserve">When testing a specific ticket and you need to understand what else it might affect</w:t>
            </w:r>
          </w:p>
          <w:p>
            <w:r>
              <w:rPr>
                <w:rFonts w:ascii="Arial" w:cs="Arial" w:eastAsia="Arial" w:hAnsi="Arial"/>
                <w:color w:val="374151"/>
                <w:sz w:val="20"/>
                <w:szCs w:val="20"/>
              </w:rPr>
              <w:t xml:space="preserve">Installable AI skills that know the entire business model for each module. Ask questions like “What should I regression test after this change?” and get targeted, context-aware guidance grounded in the Confluence documentation.</w:t>
            </w:r>
          </w:p>
        </w:tc>
      </w:tr>
    </w:tbl>
    <w:p>
      <w:pP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sz="0"/>
              <w:left w:val="none" w:sz="0"/>
              <w:bottom w:val="none" w:sz="0"/>
              <w:right w:val="none" w:sz="0"/>
            </w:tcBorders>
            <w:shd w:fill="E8EEF4" w:val="clear"/>
            <w:tcMar>
              <w:top w:type="dxa" w:w="100"/>
              <w:left w:type="dxa" w:w="80"/>
              <w:bottom w:type="dxa" w:w="100"/>
              <w:right w:type="dxa" w:w="80"/>
            </w:tcMar>
            <w:vAlign w:val="center"/>
          </w:tcPr>
          <w:p>
            <w:pPr>
              <w:jc w:val="center"/>
            </w:pPr>
            <w:r>
              <w:rPr>
                <w:rFonts w:ascii="Arial" w:cs="Arial" w:eastAsia="Arial" w:hAnsi="Arial"/>
                <w:sz w:val="28"/>
                <w:szCs w:val="28"/>
              </w:rPr>
              <w:t xml:space="preserve">🗺</w:t>
            </w:r>
          </w:p>
        </w:tc>
        <w:tc>
          <w:tcPr>
            <w:tcW w:type="dxa" w:w="8760"/>
            <w:tcBorders>
              <w:top w:val="none" w:sz="0"/>
              <w:left w:val="none" w:sz="0"/>
              <w:bottom w:val="none" w:sz="0"/>
              <w:right w:val="none" w:sz="0"/>
            </w:tcBorders>
            <w:shd w:fill="E8EEF4" w:val="clear"/>
            <w:tcMar>
              <w:top w:type="dxa" w:w="100"/>
              <w:left w:type="dxa" w:w="160"/>
              <w:bottom w:type="dxa" w:w="100"/>
              <w:right w:type="dxa" w:w="160"/>
            </w:tcMar>
          </w:tcPr>
          <w:p>
            <w:pPr>
              <w:spacing w:after="40"/>
            </w:pPr>
            <w:r>
              <w:rPr>
                <w:rFonts w:ascii="Arial" w:cs="Arial" w:eastAsia="Arial" w:hAnsi="Arial"/>
                <w:b/>
                <w:bCs/>
                <w:color w:val="1B3A5C"/>
                <w:sz w:val="24"/>
                <w:szCs w:val="24"/>
              </w:rPr>
              <w:t xml:space="preserve">QA Big Picture Maps</w:t>
            </w:r>
          </w:p>
          <w:p>
            <w:pPr>
              <w:spacing w:after="40"/>
            </w:pPr>
            <w:r>
              <w:rPr>
                <w:rFonts w:ascii="Arial" w:cs="Arial" w:eastAsia="Arial" w:hAnsi="Arial"/>
                <w:b/>
                <w:bCs/>
                <w:color w:val="6B7280"/>
                <w:sz w:val="20"/>
                <w:szCs w:val="20"/>
              </w:rPr>
              <w:t xml:space="preserve">When: </w:t>
            </w:r>
            <w:r>
              <w:rPr>
                <w:rFonts w:ascii="Arial" w:cs="Arial" w:eastAsia="Arial" w:hAnsi="Arial"/>
                <w:color w:val="6B7280"/>
                <w:sz w:val="20"/>
                <w:szCs w:val="20"/>
              </w:rPr>
              <w:t xml:space="preserve">When you need to understand how a feature fits into the bigger picture</w:t>
            </w:r>
          </w:p>
          <w:p>
            <w:r>
              <w:rPr>
                <w:rFonts w:ascii="Arial" w:cs="Arial" w:eastAsia="Arial" w:hAnsi="Arial"/>
                <w:color w:val="374151"/>
                <w:sz w:val="20"/>
                <w:szCs w:val="20"/>
              </w:rPr>
              <w:t xml:space="preserve">Interactive reference pages covering the entire module. Use them to build understanding of business rules, data flows, and how features connect to each other. Great for onboarding new QA team members.</w:t>
            </w:r>
          </w:p>
        </w:tc>
      </w:tr>
    </w:tbl>
    <w:p>
      <w:pPr>
        <w:spacing w:after="200"/>
      </w:pPr>
    </w:p>
    <w:p>
      <w:pPr>
        <w:pStyle w:val="Heading1"/>
      </w:pPr>
      <w:r>
        <w:t xml:space="preserve">When to Use What</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00"/>
        <w:gridCol w:w="3360"/>
      </w:tblGrid>
      <w:tr>
        <w:trPr>
          <w:tblHeader/>
        </w:trPr>
        <w:tc>
          <w:tcPr>
            <w:tcW w:type="dxa" w:w="2800"/>
            <w:tcBorders>
              <w:top w:val="single" w:color="D1D5DB" w:sz="1"/>
              <w:left w:val="single" w:color="D1D5DB" w:sz="1"/>
              <w:bottom w:val="single" w:color="D1D5DB" w:sz="1"/>
              <w:right w:val="single" w:color="D1D5DB"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Situation</w:t>
            </w:r>
          </w:p>
        </w:tc>
        <w:tc>
          <w:tcPr>
            <w:tcW w:type="dxa" w:w="3200"/>
            <w:tcBorders>
              <w:top w:val="single" w:color="D1D5DB" w:sz="1"/>
              <w:left w:val="single" w:color="D1D5DB" w:sz="1"/>
              <w:bottom w:val="single" w:color="D1D5DB" w:sz="1"/>
              <w:right w:val="single" w:color="D1D5DB"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What to Use</w:t>
            </w:r>
          </w:p>
        </w:tc>
        <w:tc>
          <w:tcPr>
            <w:tcW w:type="dxa" w:w="3360"/>
            <w:tcBorders>
              <w:top w:val="single" w:color="D1D5DB" w:sz="1"/>
              <w:left w:val="single" w:color="D1D5DB" w:sz="1"/>
              <w:bottom w:val="single" w:color="D1D5DB" w:sz="1"/>
              <w:right w:val="single" w:color="D1D5DB"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Why</w:t>
            </w:r>
          </w:p>
        </w:tc>
      </w:tr>
      <w:tr>
        <w:tc>
          <w:tcPr>
            <w:tcW w:type="dxa" w:w="280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Demo prep</w:t>
            </w:r>
          </w:p>
        </w:tc>
        <w:tc>
          <w:tcPr>
            <w:tcW w:type="dxa" w:w="320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E2E Scripts (critical flows for each module)</w:t>
            </w:r>
          </w:p>
        </w:tc>
        <w:tc>
          <w:tcPr>
            <w:tcW w:type="dxa" w:w="336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Catches the integration bugs that break demos</w:t>
            </w:r>
          </w:p>
        </w:tc>
      </w:tr>
      <w:tr>
        <w:tc>
          <w:tcPr>
            <w:tcW w:type="dxa" w:w="280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Release candidate</w:t>
            </w:r>
          </w:p>
        </w:tc>
        <w:tc>
          <w:tcPr>
            <w:tcW w:type="dxa" w:w="320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Full E2E suite for affected module(s)</w:t>
            </w:r>
          </w:p>
        </w:tc>
        <w:tc>
          <w:tcPr>
            <w:tcW w:type="dxa" w:w="336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Complete regression coverage across all features</w:t>
            </w:r>
          </w:p>
        </w:tc>
      </w:tr>
      <w:tr>
        <w:tc>
          <w:tcPr>
            <w:tcW w:type="dxa" w:w="280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Testing a specific ticket</w:t>
            </w:r>
          </w:p>
        </w:tc>
        <w:tc>
          <w:tcPr>
            <w:tcW w:type="dxa" w:w="320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Module Skill → ask for targeted regression areas</w:t>
            </w:r>
          </w:p>
        </w:tc>
        <w:tc>
          <w:tcPr>
            <w:tcW w:type="dxa" w:w="336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Knows which features connect and what could break</w:t>
            </w:r>
          </w:p>
        </w:tc>
      </w:tr>
      <w:tr>
        <w:tc>
          <w:tcPr>
            <w:tcW w:type="dxa" w:w="280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New to a module</w:t>
            </w:r>
          </w:p>
        </w:tc>
        <w:tc>
          <w:tcPr>
            <w:tcW w:type="dxa" w:w="320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QA Big Picture Map for that module</w:t>
            </w:r>
          </w:p>
        </w:tc>
        <w:tc>
          <w:tcPr>
            <w:tcW w:type="dxa" w:w="336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Builds understanding of the business model and data flows</w:t>
            </w:r>
          </w:p>
        </w:tc>
      </w:tr>
      <w:tr>
        <w:tc>
          <w:tcPr>
            <w:tcW w:type="dxa" w:w="280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Unsure what a field means</w:t>
            </w:r>
          </w:p>
        </w:tc>
        <w:tc>
          <w:tcPr>
            <w:tcW w:type="dxa" w:w="320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Module Skill → ask directly</w:t>
            </w:r>
          </w:p>
        </w:tc>
        <w:tc>
          <w:tcPr>
            <w:tcW w:type="dxa" w:w="336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Has the full Confluence knowledge base baked in</w:t>
            </w:r>
          </w:p>
        </w:tc>
      </w:tr>
      <w:tr>
        <w:tc>
          <w:tcPr>
            <w:tcW w:type="dxa" w:w="280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Reviewing a PR / code change</w:t>
            </w:r>
          </w:p>
        </w:tc>
        <w:tc>
          <w:tcPr>
            <w:tcW w:type="dxa" w:w="320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Module Skill → “What does [X] affect?”</w:t>
            </w:r>
          </w:p>
        </w:tc>
        <w:tc>
          <w:tcPr>
            <w:tcW w:type="dxa" w:w="336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Maps impact across related features</w:t>
            </w:r>
          </w:p>
        </w:tc>
      </w:tr>
    </w:tbl>
    <w:p>
      <w:pPr>
        <w:spacing w:after="200"/>
      </w:pPr>
    </w:p>
    <w:p>
      <w:pPr>
        <w:pStyle w:val="Heading1"/>
      </w:pPr>
      <w:r>
        <w:t xml:space="preserve">Pre-Demo Checklist: Membership &amp; Dues</w:t>
      </w:r>
    </w:p>
    <w:p>
      <w:pPr>
        <w:spacing w:after="120"/>
      </w:pPr>
      <w:r>
        <w:rPr>
          <w:rFonts w:ascii="Arial" w:cs="Arial" w:eastAsia="Arial" w:hAnsi="Arial"/>
          <w:color w:val="374151"/>
          <w:sz w:val="22"/>
          <w:szCs w:val="22"/>
        </w:rPr>
        <w:t xml:space="preserve">Run these four M&amp;D E2E flows before any demo involving dues functionality. ~90 minutes total.</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2500"/>
        <w:gridCol w:w="3200"/>
        <w:gridCol w:w="2860"/>
      </w:tblGrid>
      <w:tr>
        <w:trPr>
          <w:tblHeader/>
        </w:trPr>
        <w:tc>
          <w:tcPr>
            <w:tcW w:type="dxa" w:w="800"/>
            <w:tcBorders>
              <w:top w:val="single" w:color="D1D5DB" w:sz="1"/>
              <w:left w:val="single" w:color="D1D5DB" w:sz="1"/>
              <w:bottom w:val="single" w:color="D1D5DB" w:sz="1"/>
              <w:right w:val="single" w:color="D1D5DB"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Priority</w:t>
            </w:r>
          </w:p>
        </w:tc>
        <w:tc>
          <w:tcPr>
            <w:tcW w:type="dxa" w:w="2500"/>
            <w:tcBorders>
              <w:top w:val="single" w:color="D1D5DB" w:sz="1"/>
              <w:left w:val="single" w:color="D1D5DB" w:sz="1"/>
              <w:bottom w:val="single" w:color="D1D5DB" w:sz="1"/>
              <w:right w:val="single" w:color="D1D5DB"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Flow</w:t>
            </w:r>
          </w:p>
        </w:tc>
        <w:tc>
          <w:tcPr>
            <w:tcW w:type="dxa" w:w="3200"/>
            <w:tcBorders>
              <w:top w:val="single" w:color="D1D5DB" w:sz="1"/>
              <w:left w:val="single" w:color="D1D5DB" w:sz="1"/>
              <w:bottom w:val="single" w:color="D1D5DB" w:sz="1"/>
              <w:right w:val="single" w:color="D1D5DB"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What It Covers</w:t>
            </w:r>
          </w:p>
        </w:tc>
        <w:tc>
          <w:tcPr>
            <w:tcW w:type="dxa" w:w="2860"/>
            <w:tcBorders>
              <w:top w:val="single" w:color="D1D5DB" w:sz="1"/>
              <w:left w:val="single" w:color="D1D5DB" w:sz="1"/>
              <w:bottom w:val="single" w:color="D1D5DB" w:sz="1"/>
              <w:right w:val="single" w:color="D1D5DB"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Time Est.</w:t>
            </w:r>
          </w:p>
        </w:tc>
      </w:tr>
      <w:tr>
        <w:tc>
          <w:tcPr>
            <w:tcW w:type="dxa" w:w="80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#1</w:t>
            </w:r>
          </w:p>
        </w:tc>
        <w:tc>
          <w:tcPr>
            <w:tcW w:type="dxa" w:w="250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E2E-1: Full Happy Path</w:t>
            </w:r>
          </w:p>
        </w:tc>
        <w:tc>
          <w:tcPr>
            <w:tcW w:type="dxa" w:w="320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Dues Year Setup → Batch → Pay → Monthly → National</w:t>
            </w:r>
          </w:p>
        </w:tc>
        <w:tc>
          <w:tcPr>
            <w:tcW w:type="dxa" w:w="286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30-45 min</w:t>
            </w:r>
          </w:p>
        </w:tc>
      </w:tr>
      <w:tr>
        <w:tc>
          <w:tcPr>
            <w:tcW w:type="dxa" w:w="80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#2</w:t>
            </w:r>
          </w:p>
        </w:tc>
        <w:tc>
          <w:tcPr>
            <w:tcW w:type="dxa" w:w="250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E2E-2: New Member</w:t>
            </w:r>
          </w:p>
        </w:tc>
        <w:tc>
          <w:tcPr>
            <w:tcW w:type="dxa" w:w="320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Day-to-day invoice creation, payment, validation rules</w:t>
            </w:r>
          </w:p>
        </w:tc>
        <w:tc>
          <w:tcPr>
            <w:tcW w:type="dxa" w:w="286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15-20 min</w:t>
            </w:r>
          </w:p>
        </w:tc>
      </w:tr>
      <w:tr>
        <w:tc>
          <w:tcPr>
            <w:tcW w:type="dxa" w:w="80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#3</w:t>
            </w:r>
          </w:p>
        </w:tc>
        <w:tc>
          <w:tcPr>
            <w:tcW w:type="dxa" w:w="250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E2E-3: Portal Payment</w:t>
            </w:r>
          </w:p>
        </w:tc>
        <w:tc>
          <w:tcPr>
            <w:tcW w:type="dxa" w:w="320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No-login link, authenticated portal, CC and ACH, post-payment</w:t>
            </w:r>
          </w:p>
        </w:tc>
        <w:tc>
          <w:tcPr>
            <w:tcW w:type="dxa" w:w="286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20-30 min</w:t>
            </w:r>
          </w:p>
        </w:tc>
      </w:tr>
      <w:tr>
        <w:tc>
          <w:tcPr>
            <w:tcW w:type="dxa" w:w="80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#4</w:t>
            </w:r>
          </w:p>
        </w:tc>
        <w:tc>
          <w:tcPr>
            <w:tcW w:type="dxa" w:w="250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E2E-9: National Processing</w:t>
            </w:r>
          </w:p>
        </w:tc>
        <w:tc>
          <w:tcPr>
            <w:tcW w:type="dxa" w:w="320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Multi-chapter review, approve, publish to Wells Fargo</w:t>
            </w:r>
          </w:p>
        </w:tc>
        <w:tc>
          <w:tcPr>
            <w:tcW w:type="dxa" w:w="286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20-30 min</w:t>
            </w:r>
          </w:p>
        </w:tc>
      </w:tr>
    </w:tbl>
    <w:p>
      <w:pPr>
        <w:spacing w:after="200"/>
      </w:pPr>
    </w:p>
    <w:p>
      <w:pPr>
        <w:pStyle w:val="Heading1"/>
      </w:pPr>
      <w:r>
        <w:t xml:space="preserve">Pre-Demo Checklist: Events</w:t>
      </w:r>
    </w:p>
    <w:p>
      <w:pPr>
        <w:spacing w:after="120"/>
      </w:pPr>
      <w:r>
        <w:rPr>
          <w:rFonts w:ascii="Arial" w:cs="Arial" w:eastAsia="Arial" w:hAnsi="Arial"/>
          <w:color w:val="374151"/>
          <w:sz w:val="22"/>
          <w:szCs w:val="22"/>
        </w:rPr>
        <w:t xml:space="preserve">Run these four Events E2E flows before any demo involving event functionality. ~80 minutes total.</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2500"/>
        <w:gridCol w:w="3200"/>
        <w:gridCol w:w="2860"/>
      </w:tblGrid>
      <w:tr>
        <w:trPr>
          <w:tblHeader/>
        </w:trPr>
        <w:tc>
          <w:tcPr>
            <w:tcW w:type="dxa" w:w="800"/>
            <w:tcBorders>
              <w:top w:val="single" w:color="D1D5DB" w:sz="1"/>
              <w:left w:val="single" w:color="D1D5DB" w:sz="1"/>
              <w:bottom w:val="single" w:color="D1D5DB" w:sz="1"/>
              <w:right w:val="single" w:color="D1D5DB"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Priority</w:t>
            </w:r>
          </w:p>
        </w:tc>
        <w:tc>
          <w:tcPr>
            <w:tcW w:type="dxa" w:w="2500"/>
            <w:tcBorders>
              <w:top w:val="single" w:color="D1D5DB" w:sz="1"/>
              <w:left w:val="single" w:color="D1D5DB" w:sz="1"/>
              <w:bottom w:val="single" w:color="D1D5DB" w:sz="1"/>
              <w:right w:val="single" w:color="D1D5DB"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Flow</w:t>
            </w:r>
          </w:p>
        </w:tc>
        <w:tc>
          <w:tcPr>
            <w:tcW w:type="dxa" w:w="3200"/>
            <w:tcBorders>
              <w:top w:val="single" w:color="D1D5DB" w:sz="1"/>
              <w:left w:val="single" w:color="D1D5DB" w:sz="1"/>
              <w:bottom w:val="single" w:color="D1D5DB" w:sz="1"/>
              <w:right w:val="single" w:color="D1D5DB"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What It Covers</w:t>
            </w:r>
          </w:p>
        </w:tc>
        <w:tc>
          <w:tcPr>
            <w:tcW w:type="dxa" w:w="2860"/>
            <w:tcBorders>
              <w:top w:val="single" w:color="D1D5DB" w:sz="1"/>
              <w:left w:val="single" w:color="D1D5DB" w:sz="1"/>
              <w:bottom w:val="single" w:color="D1D5DB" w:sz="1"/>
              <w:right w:val="single" w:color="D1D5DB"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Time Est.</w:t>
            </w:r>
          </w:p>
        </w:tc>
      </w:tr>
      <w:tr>
        <w:tc>
          <w:tcPr>
            <w:tcW w:type="dxa" w:w="80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#1</w:t>
            </w:r>
          </w:p>
        </w:tc>
        <w:tc>
          <w:tcPr>
            <w:tcW w:type="dxa" w:w="250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E2E-1: Event Creation</w:t>
            </w:r>
          </w:p>
        </w:tc>
        <w:tc>
          <w:tcPr>
            <w:tcW w:type="dxa" w:w="320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Create event, add location, copy event with functions</w:t>
            </w:r>
          </w:p>
        </w:tc>
        <w:tc>
          <w:tcPr>
            <w:tcW w:type="dxa" w:w="286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15-20 min</w:t>
            </w:r>
          </w:p>
        </w:tc>
      </w:tr>
      <w:tr>
        <w:tc>
          <w:tcPr>
            <w:tcW w:type="dxa" w:w="80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#2</w:t>
            </w:r>
          </w:p>
        </w:tc>
        <w:tc>
          <w:tcPr>
            <w:tcW w:type="dxa" w:w="250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E2E-3: Chapter Registration</w:t>
            </w:r>
          </w:p>
        </w:tc>
        <w:tc>
          <w:tcPr>
            <w:tcW w:type="dxa" w:w="320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Add registration, payment, auto-update individual records</w:t>
            </w:r>
          </w:p>
        </w:tc>
        <w:tc>
          <w:tcPr>
            <w:tcW w:type="dxa" w:w="286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15-20 min</w:t>
            </w:r>
          </w:p>
        </w:tc>
      </w:tr>
      <w:tr>
        <w:tc>
          <w:tcPr>
            <w:tcW w:type="dxa" w:w="80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#3</w:t>
            </w:r>
          </w:p>
        </w:tc>
        <w:tc>
          <w:tcPr>
            <w:tcW w:type="dxa" w:w="250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E2E-4: Portal Registration</w:t>
            </w:r>
          </w:p>
        </w:tc>
        <w:tc>
          <w:tcPr>
            <w:tcW w:type="dxa" w:w="320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Public browse, Steps 1-4, Pay Now/Cart/Request Invoice</w:t>
            </w:r>
          </w:p>
        </w:tc>
        <w:tc>
          <w:tcPr>
            <w:tcW w:type="dxa" w:w="286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25-30 min</w:t>
            </w:r>
          </w:p>
        </w:tc>
      </w:tr>
      <w:tr>
        <w:tc>
          <w:tcPr>
            <w:tcW w:type="dxa" w:w="80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#4</w:t>
            </w:r>
          </w:p>
        </w:tc>
        <w:tc>
          <w:tcPr>
            <w:tcW w:type="dxa" w:w="250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E2E-6: Payments &amp; Invoices</w:t>
            </w:r>
          </w:p>
        </w:tc>
        <w:tc>
          <w:tcPr>
            <w:tcW w:type="dxa" w:w="320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Invoice generation, browse invoices, registration updates</w:t>
            </w:r>
          </w:p>
        </w:tc>
        <w:tc>
          <w:tcPr>
            <w:tcW w:type="dxa" w:w="286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15-20 min</w:t>
            </w:r>
          </w:p>
        </w:tc>
      </w:tr>
    </w:tbl>
    <w:p>
      <w:pPr>
        <w:spacing w:after="200"/>
      </w:pPr>
    </w:p>
    <w:p>
      <w:pPr>
        <w:pStyle w:val="Heading1"/>
      </w:pPr>
      <w:r>
        <w:t xml:space="preserve">Per-Ticket Testing Workflow</w:t>
      </w:r>
    </w:p>
    <w:p>
      <w:pPr>
        <w:spacing w:after="120"/>
      </w:pPr>
      <w:r>
        <w:rPr>
          <w:rFonts w:ascii="Arial" w:cs="Arial" w:eastAsia="Arial" w:hAnsi="Arial"/>
          <w:color w:val="374151"/>
          <w:sz w:val="22"/>
          <w:szCs w:val="22"/>
        </w:rPr>
        <w:t xml:space="preserve">When you pick up a ticket to test, follow this process to catch both the direct change and any side effects.</w:t>
      </w:r>
    </w:p>
    <w:p>
      <w:pPr>
        <w:spacing w:after="80"/>
      </w:pPr>
    </w:p>
    <w:p>
      <w:pPr>
        <w:pStyle w:val="ListParagraph"/>
        <w:numPr>
          <w:ilvl w:val="0"/>
          <w:numId w:val="2"/>
        </w:numPr>
        <w:spacing w:after="100"/>
      </w:pPr>
      <w:r>
        <w:rPr>
          <w:rFonts w:ascii="Arial" w:cs="Arial" w:eastAsia="Arial" w:hAnsi="Arial"/>
          <w:color w:val="374151"/>
          <w:sz w:val="22"/>
          <w:szCs w:val="22"/>
        </w:rPr>
        <w:t xml:space="preserve">Test the ticket’s acceptance criteria </w:t>
      </w:r>
      <w:r>
        <w:rPr>
          <w:rFonts w:ascii="Arial" w:cs="Arial" w:eastAsia="Arial" w:hAnsi="Arial"/>
          <w:color w:val="6B7280"/>
          <w:sz w:val="22"/>
          <w:szCs w:val="22"/>
        </w:rPr>
        <w:t xml:space="preserve">(as you normally would)</w:t>
      </w:r>
    </w:p>
    <w:p>
      <w:pPr>
        <w:pStyle w:val="ListParagraph"/>
        <w:numPr>
          <w:ilvl w:val="0"/>
          <w:numId w:val="2"/>
        </w:numPr>
        <w:spacing w:after="100"/>
      </w:pPr>
      <w:r>
        <w:rPr>
          <w:rFonts w:ascii="Arial" w:cs="Arial" w:eastAsia="Arial" w:hAnsi="Arial"/>
          <w:color w:val="374151"/>
          <w:sz w:val="22"/>
          <w:szCs w:val="22"/>
        </w:rPr>
        <w:t xml:space="preserve">Ask the M&amp;D Skill: </w:t>
      </w:r>
      <w:r>
        <w:rPr>
          <w:rFonts w:ascii="Arial" w:cs="Arial" w:eastAsia="Arial" w:hAnsi="Arial"/>
          <w:i/>
          <w:iCs/>
          <w:color w:val="0D7377"/>
          <w:sz w:val="22"/>
          <w:szCs w:val="22"/>
        </w:rPr>
        <w:t xml:space="preserve">“I just tested [ticket description]. What related areas should I regression test?”</w:t>
      </w:r>
    </w:p>
    <w:p>
      <w:pPr>
        <w:pStyle w:val="ListParagraph"/>
        <w:numPr>
          <w:ilvl w:val="0"/>
          <w:numId w:val="2"/>
        </w:numPr>
        <w:spacing w:after="100"/>
      </w:pPr>
      <w:r>
        <w:rPr>
          <w:rFonts w:ascii="Arial" w:cs="Arial" w:eastAsia="Arial" w:hAnsi="Arial"/>
          <w:color w:val="374151"/>
          <w:sz w:val="22"/>
          <w:szCs w:val="22"/>
        </w:rPr>
        <w:t xml:space="preserve">Run the targeted regression checks </w:t>
      </w:r>
      <w:r>
        <w:rPr>
          <w:rFonts w:ascii="Arial" w:cs="Arial" w:eastAsia="Arial" w:hAnsi="Arial"/>
          <w:color w:val="374151"/>
          <w:sz w:val="22"/>
          <w:szCs w:val="22"/>
        </w:rPr>
        <w:t xml:space="preserve">the skill recommends</w:t>
      </w:r>
    </w:p>
    <w:p>
      <w:pPr>
        <w:pStyle w:val="ListParagraph"/>
        <w:numPr>
          <w:ilvl w:val="0"/>
          <w:numId w:val="2"/>
        </w:numPr>
        <w:spacing w:after="100"/>
      </w:pPr>
      <w:r>
        <w:rPr>
          <w:rFonts w:ascii="Arial" w:cs="Arial" w:eastAsia="Arial" w:hAnsi="Arial"/>
          <w:color w:val="374151"/>
          <w:sz w:val="22"/>
          <w:szCs w:val="22"/>
        </w:rPr>
        <w:t xml:space="preserve">If the ticket touches a core flow </w:t>
      </w:r>
      <w:r>
        <w:rPr>
          <w:rFonts w:ascii="Arial" w:cs="Arial" w:eastAsia="Arial" w:hAnsi="Arial"/>
          <w:color w:val="374151"/>
          <w:sz w:val="22"/>
          <w:szCs w:val="22"/>
        </w:rPr>
        <w:t xml:space="preserve">(invoicing, payments, monthly process), also run the matching E2E script</w:t>
      </w:r>
    </w:p>
    <w:p>
      <w:pPr>
        <w:spacing w:after="200"/>
      </w:pPr>
    </w:p>
    <w:p>
      <w:pPr>
        <w:pStyle w:val="Heading1"/>
      </w:pPr>
      <w:r>
        <w:t xml:space="preserve">Example Skill Prompts</w:t>
      </w:r>
    </w:p>
    <w:p>
      <w:pPr>
        <w:spacing w:after="80"/>
      </w:pPr>
    </w:p>
    <w:p>
      <w:pPr>
        <w:pStyle w:val="Heading2"/>
      </w:pPr>
      <w:r>
        <w:t xml:space="preserve">Membership &amp; Dues Skill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rPr>
          <w:tblHeader/>
        </w:trPr>
        <w:tc>
          <w:tcPr>
            <w:tcW w:type="dxa" w:w="4000"/>
            <w:tcBorders>
              <w:top w:val="single" w:color="D1D5DB" w:sz="1"/>
              <w:left w:val="single" w:color="D1D5DB" w:sz="1"/>
              <w:bottom w:val="single" w:color="D1D5DB" w:sz="1"/>
              <w:right w:val="single" w:color="D1D5DB"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Prompt</w:t>
            </w:r>
          </w:p>
        </w:tc>
        <w:tc>
          <w:tcPr>
            <w:tcW w:type="dxa" w:w="5360"/>
            <w:tcBorders>
              <w:top w:val="single" w:color="D1D5DB" w:sz="1"/>
              <w:left w:val="single" w:color="D1D5DB" w:sz="1"/>
              <w:bottom w:val="single" w:color="D1D5DB" w:sz="1"/>
              <w:right w:val="single" w:color="D1D5DB"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What You’ll Get</w:t>
            </w:r>
          </w:p>
        </w:tc>
      </w:tr>
      <w:tr>
        <w:tc>
          <w:tcPr>
            <w:tcW w:type="dxa" w:w="400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“What should I regression test after a change to proration logic?”</w:t>
            </w:r>
          </w:p>
        </w:tc>
        <w:tc>
          <w:tcPr>
            <w:tcW w:type="dxa" w:w="536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Related features: batch exclusion rules, monthly totals, 15-for-12 interaction, prorated invoice flagging</w:t>
            </w:r>
          </w:p>
        </w:tc>
      </w:tr>
      <w:tr>
        <w:tc>
          <w:tcPr>
            <w:tcW w:type="dxa" w:w="400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“Can National dues be credited on a Renewal invoice?”</w:t>
            </w:r>
          </w:p>
        </w:tc>
        <w:tc>
          <w:tcPr>
            <w:tcW w:type="dxa" w:w="536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No — only on Adjusted invoices, with full amount only, with Line #77 citation</w:t>
            </w:r>
          </w:p>
        </w:tc>
      </w:tr>
      <w:tr>
        <w:tc>
          <w:tcPr>
            <w:tcW w:type="dxa" w:w="400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“What validations fire when a Chapter submits to National?”</w:t>
            </w:r>
          </w:p>
        </w:tc>
        <w:tc>
          <w:tcPr>
            <w:tcW w:type="dxa" w:w="536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Full list of 7 submission audits with what each one checks</w:t>
            </w:r>
          </w:p>
        </w:tc>
      </w:tr>
    </w:tbl>
    <w:p>
      <w:pPr>
        <w:spacing w:after="160"/>
      </w:pPr>
    </w:p>
    <w:p>
      <w:pPr>
        <w:pStyle w:val="Heading2"/>
      </w:pPr>
      <w:r>
        <w:t xml:space="preserve">Events Skill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rPr>
          <w:tblHeader/>
        </w:trPr>
        <w:tc>
          <w:tcPr>
            <w:tcW w:type="dxa" w:w="4000"/>
            <w:tcBorders>
              <w:top w:val="single" w:color="D1D5DB" w:sz="1"/>
              <w:left w:val="single" w:color="D1D5DB" w:sz="1"/>
              <w:bottom w:val="single" w:color="D1D5DB" w:sz="1"/>
              <w:right w:val="single" w:color="D1D5DB"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Prompt</w:t>
            </w:r>
          </w:p>
        </w:tc>
        <w:tc>
          <w:tcPr>
            <w:tcW w:type="dxa" w:w="5360"/>
            <w:tcBorders>
              <w:top w:val="single" w:color="D1D5DB" w:sz="1"/>
              <w:left w:val="single" w:color="D1D5DB" w:sz="1"/>
              <w:bottom w:val="single" w:color="D1D5DB" w:sz="1"/>
              <w:right w:val="single" w:color="D1D5DB"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What You’ll Get</w:t>
            </w:r>
          </w:p>
        </w:tc>
      </w:tr>
      <w:tr>
        <w:tc>
          <w:tcPr>
            <w:tcW w:type="dxa" w:w="400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“What happens to registrations when items are in the shopping cart?”</w:t>
            </w:r>
          </w:p>
        </w:tc>
        <w:tc>
          <w:tcPr>
            <w:tcW w:type="dxa" w:w="536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Cart items do NOT create registrations until checkout. If capacity fills, checkout fails.</w:t>
            </w:r>
          </w:p>
        </w:tc>
      </w:tr>
      <w:tr>
        <w:tc>
          <w:tcPr>
            <w:tcW w:type="dxa" w:w="400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“What are the delete rules for sponsors?”</w:t>
            </w:r>
          </w:p>
        </w:tc>
        <w:tc>
          <w:tcPr>
            <w:tcW w:type="dxa" w:w="536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Must be open status AND no invoice AND no individual registered as attendee</w:t>
            </w:r>
          </w:p>
        </w:tc>
      </w:tr>
      <w:tr>
        <w:tc>
          <w:tcPr>
            <w:tcW w:type="dxa" w:w="400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“We changed a ticket’s custom field — what could break?”</w:t>
            </w:r>
          </w:p>
        </w:tc>
        <w:tc>
          <w:tcPr>
            <w:tcW w:type="dxa" w:w="536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Warning about data discrepancy for existing registrations, custom field timing rules</w:t>
            </w:r>
          </w:p>
        </w:tc>
      </w:tr>
    </w:tbl>
    <w:p>
      <w:pPr>
        <w:spacing w:after="200"/>
      </w:pPr>
    </w:p>
    <w:p>
      <w:pPr>
        <w:pStyle w:val="Heading1"/>
      </w:pPr>
      <w:r>
        <w:t xml:space="preserve">Quick Reference: File Locations</w:t>
      </w:r>
    </w:p>
    <w:p>
      <w:pPr>
        <w:spacing w:after="80"/>
      </w:pPr>
    </w:p>
    <w:p>
      <w:pPr>
        <w:pStyle w:val="Heading2"/>
      </w:pPr>
      <w:r>
        <w:t xml:space="preserve">Membership &amp; Dues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D1D5DB" w:sz="1"/>
              <w:left w:val="single" w:color="D1D5DB" w:sz="1"/>
              <w:bottom w:val="single" w:color="D1D5DB" w:sz="1"/>
              <w:right w:val="single" w:color="D1D5DB"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Tool</w:t>
            </w:r>
          </w:p>
        </w:tc>
        <w:tc>
          <w:tcPr>
            <w:tcW w:type="dxa" w:w="6360"/>
            <w:tcBorders>
              <w:top w:val="single" w:color="D1D5DB" w:sz="1"/>
              <w:left w:val="single" w:color="D1D5DB" w:sz="1"/>
              <w:bottom w:val="single" w:color="D1D5DB" w:sz="1"/>
              <w:right w:val="single" w:color="D1D5DB"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File / Location</w:t>
            </w:r>
          </w:p>
        </w:tc>
      </w:tr>
      <w:tr>
        <w:tc>
          <w:tcPr>
            <w:tcW w:type="dxa" w:w="300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E2E Test Scripts</w:t>
            </w:r>
          </w:p>
        </w:tc>
        <w:tc>
          <w:tcPr>
            <w:tcW w:type="dxa" w:w="636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ABC_E2E_Test_Scripts.html</w:t>
            </w:r>
          </w:p>
        </w:tc>
      </w:tr>
      <w:tr>
        <w:tc>
          <w:tcPr>
            <w:tcW w:type="dxa" w:w="300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Knowledge Skill</w:t>
            </w:r>
          </w:p>
        </w:tc>
        <w:tc>
          <w:tcPr>
            <w:tcW w:type="dxa" w:w="636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abc-membership-dues.skill — double-click to install</w:t>
            </w:r>
          </w:p>
        </w:tc>
      </w:tr>
      <w:tr>
        <w:tc>
          <w:tcPr>
            <w:tcW w:type="dxa" w:w="300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QA Big Picture Map</w:t>
            </w:r>
          </w:p>
        </w:tc>
        <w:tc>
          <w:tcPr>
            <w:tcW w:type="dxa" w:w="636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ABC_Membership_Dues_QA_Map.html</w:t>
            </w:r>
          </w:p>
        </w:tc>
      </w:tr>
    </w:tbl>
    <w:p>
      <w:pPr>
        <w:spacing w:after="120"/>
      </w:pPr>
    </w:p>
    <w:p>
      <w:pPr>
        <w:pStyle w:val="Heading2"/>
      </w:pPr>
      <w:r>
        <w:t xml:space="preserve">Events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D1D5DB" w:sz="1"/>
              <w:left w:val="single" w:color="D1D5DB" w:sz="1"/>
              <w:bottom w:val="single" w:color="D1D5DB" w:sz="1"/>
              <w:right w:val="single" w:color="D1D5DB"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Tool</w:t>
            </w:r>
          </w:p>
        </w:tc>
        <w:tc>
          <w:tcPr>
            <w:tcW w:type="dxa" w:w="6360"/>
            <w:tcBorders>
              <w:top w:val="single" w:color="D1D5DB" w:sz="1"/>
              <w:left w:val="single" w:color="D1D5DB" w:sz="1"/>
              <w:bottom w:val="single" w:color="D1D5DB" w:sz="1"/>
              <w:right w:val="single" w:color="D1D5DB"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File / Location</w:t>
            </w:r>
          </w:p>
        </w:tc>
      </w:tr>
      <w:tr>
        <w:tc>
          <w:tcPr>
            <w:tcW w:type="dxa" w:w="300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E2E Test Scripts</w:t>
            </w:r>
          </w:p>
        </w:tc>
        <w:tc>
          <w:tcPr>
            <w:tcW w:type="dxa" w:w="636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ABC_Events_E2E_Test_Scripts.html</w:t>
            </w:r>
          </w:p>
        </w:tc>
      </w:tr>
      <w:tr>
        <w:tc>
          <w:tcPr>
            <w:tcW w:type="dxa" w:w="300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Knowledge Skill</w:t>
            </w:r>
          </w:p>
        </w:tc>
        <w:tc>
          <w:tcPr>
            <w:tcW w:type="dxa" w:w="6360"/>
            <w:tcBorders>
              <w:top w:val="single" w:color="D1D5DB" w:sz="1"/>
              <w:left w:val="single" w:color="D1D5DB" w:sz="1"/>
              <w:bottom w:val="single" w:color="D1D5DB" w:sz="1"/>
              <w:right w:val="single" w:color="D1D5DB" w:sz="1"/>
            </w:tcBorders>
            <w:shd w:fill="F9FAFB" w:val="clear"/>
            <w:tcMar>
              <w:top w:type="dxa" w:w="60"/>
              <w:left w:type="dxa" w:w="120"/>
              <w:bottom w:type="dxa" w:w="60"/>
              <w:right w:type="dxa" w:w="120"/>
            </w:tcMar>
          </w:tcPr>
          <w:p>
            <w:r>
              <w:rPr>
                <w:rFonts w:ascii="Arial" w:cs="Arial" w:eastAsia="Arial" w:hAnsi="Arial"/>
                <w:color w:val="374151"/>
                <w:sz w:val="20"/>
                <w:szCs w:val="20"/>
              </w:rPr>
              <w:t xml:space="preserve">abc-events.skill — double-click to install</w:t>
            </w:r>
          </w:p>
        </w:tc>
      </w:tr>
      <w:tr>
        <w:tc>
          <w:tcPr>
            <w:tcW w:type="dxa" w:w="300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QA Big Picture Map</w:t>
            </w:r>
          </w:p>
        </w:tc>
        <w:tc>
          <w:tcPr>
            <w:tcW w:type="dxa" w:w="6360"/>
            <w:tcBorders>
              <w:top w:val="single" w:color="D1D5DB" w:sz="1"/>
              <w:left w:val="single" w:color="D1D5DB" w:sz="1"/>
              <w:bottom w:val="single" w:color="D1D5DB" w:sz="1"/>
              <w:right w:val="single" w:color="D1D5DB" w:sz="1"/>
            </w:tcBorders>
            <w:tcMar>
              <w:top w:type="dxa" w:w="60"/>
              <w:left w:type="dxa" w:w="120"/>
              <w:bottom w:type="dxa" w:w="60"/>
              <w:right w:type="dxa" w:w="120"/>
            </w:tcMar>
          </w:tcPr>
          <w:p>
            <w:r>
              <w:rPr>
                <w:rFonts w:ascii="Arial" w:cs="Arial" w:eastAsia="Arial" w:hAnsi="Arial"/>
                <w:color w:val="374151"/>
                <w:sz w:val="20"/>
                <w:szCs w:val="20"/>
              </w:rPr>
              <w:t xml:space="preserve">ABC_Events_QA_Map.html</w:t>
            </w:r>
          </w:p>
        </w:tc>
      </w:tr>
    </w:tbl>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sz="0"/>
              <w:left w:val="none" w:sz="0"/>
              <w:bottom w:val="none" w:sz="0"/>
              <w:right w:val="none" w:sz="0"/>
            </w:tcBorders>
            <w:shd w:fill="E8EEF4" w:val="clear"/>
            <w:tcMar>
              <w:top w:type="dxa" w:w="200"/>
              <w:left w:type="dxa" w:w="300"/>
              <w:bottom w:type="dxa" w:w="200"/>
              <w:right w:type="dxa" w:w="300"/>
            </w:tcMar>
          </w:tcPr>
          <w:p>
            <w:pPr>
              <w:spacing w:after="80"/>
              <w:jc w:val="center"/>
            </w:pPr>
            <w:r>
              <w:rPr>
                <w:rFonts w:ascii="Arial" w:cs="Arial" w:eastAsia="Arial" w:hAnsi="Arial"/>
                <w:b/>
                <w:bCs/>
                <w:color w:val="1B3A5C"/>
                <w:sz w:val="28"/>
                <w:szCs w:val="28"/>
              </w:rPr>
              <w:t xml:space="preserve">The Golden Rule</w:t>
            </w:r>
          </w:p>
          <w:p>
            <w:pPr>
              <w:jc w:val="center"/>
            </w:pPr>
            <w:r>
              <w:rPr>
                <w:rFonts w:ascii="Arial" w:cs="Arial" w:eastAsia="Arial" w:hAnsi="Arial"/>
                <w:color w:val="374151"/>
                <w:sz w:val="22"/>
                <w:szCs w:val="22"/>
              </w:rPr>
              <w:t xml:space="preserve">E2E Scripts tell you </w:t>
            </w:r>
            <w:r>
              <w:rPr>
                <w:rFonts w:ascii="Arial" w:cs="Arial" w:eastAsia="Arial" w:hAnsi="Arial"/>
                <w:i/>
                <w:iCs/>
                <w:color w:val="374151"/>
                <w:sz w:val="22"/>
                <w:szCs w:val="22"/>
              </w:rPr>
              <w:t xml:space="preserve">if</w:t>
            </w:r>
            <w:r>
              <w:rPr>
                <w:rFonts w:ascii="Arial" w:cs="Arial" w:eastAsia="Arial" w:hAnsi="Arial"/>
                <w:color w:val="374151"/>
                <w:sz w:val="22"/>
                <w:szCs w:val="22"/>
              </w:rPr>
              <w:t xml:space="preserve"> something broke. The Skill tells you </w:t>
            </w:r>
            <w:r>
              <w:rPr>
                <w:rFonts w:ascii="Arial" w:cs="Arial" w:eastAsia="Arial" w:hAnsi="Arial"/>
                <w:i/>
                <w:iCs/>
                <w:color w:val="374151"/>
                <w:sz w:val="22"/>
                <w:szCs w:val="22"/>
              </w:rPr>
              <w:t xml:space="preserve">what</w:t>
            </w:r>
            <w:r>
              <w:rPr>
                <w:rFonts w:ascii="Arial" w:cs="Arial" w:eastAsia="Arial" w:hAnsi="Arial"/>
                <w:color w:val="374151"/>
                <w:sz w:val="22"/>
                <w:szCs w:val="22"/>
              </w:rPr>
              <w:t xml:space="preserve"> might break. Use both.</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4"/>
      </w:pBdr>
      <w:jc w:val="center"/>
    </w:pP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C" w:sz="6" w:space="4"/>
      </w:pBdr>
    </w:pPr>
    <w:r>
      <w:rPr>
        <w:rFonts w:ascii="Arial" w:cs="Arial" w:eastAsia="Arial" w:hAnsi="Arial"/>
        <w:b/>
        <w:bCs/>
        <w:color w:val="1B3A5C"/>
        <w:sz w:val="18"/>
        <w:szCs w:val="18"/>
      </w:rPr>
      <w:t xml:space="preserve">ABC CHAD2</w:t>
    </w:r>
    <w:r>
      <w:rPr>
        <w:rFonts w:ascii="Arial" w:cs="Arial" w:eastAsia="Arial" w:hAnsi="Arial"/>
        <w:color w:val="6B7280"/>
        <w:sz w:val="18"/>
        <w:szCs w:val="18"/>
      </w:rPr>
      <w:t xml:space="preserve">  |  QA Testing Playbook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B3A5C"/>
      <w:sz w:val="36"/>
      <w:szCs w:val="36"/>
    </w:rPr>
  </w:style>
  <w:style w:type="paragraph" w:styleId="Heading2">
    <w:name w:val="Heading 2"/>
    <w:basedOn w:val="Normal"/>
    <w:next w:val="Normal"/>
    <w:qFormat/>
    <w:pPr>
      <w:spacing w:after="160" w:before="280"/>
      <w:outlineLvl w:val="1"/>
    </w:pPr>
    <w:rPr>
      <w:rFonts w:ascii="Arial" w:cs="Arial" w:eastAsia="Arial" w:hAnsi="Arial"/>
      <w:b/>
      <w:bCs/>
      <w:color w:val="0D7377"/>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374151"/>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2026-04-01T20:15:29.261Z</dcterms:created>
  <dcterms:modified xsi:type="dcterms:W3CDTF">2026-04-01T20:15:29.261Z</dcterms:modified>
</cp:coreProperties>
</file>

<file path=docProps/custom.xml><?xml version="1.0" encoding="utf-8"?>
<Properties xmlns="http://schemas.openxmlformats.org/officeDocument/2006/custom-properties" xmlns:vt="http://schemas.openxmlformats.org/officeDocument/2006/docPropsVTypes"/>
</file>